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line="320"/>
        <w:jc w:val="center"/>
      </w:pPr>
      <w:r>
        <w:rPr>
          <w:b/>
          <w:bCs/>
          <w:color w:val="0F1F3D"/>
          <w:sz w:val="24"/>
          <w:szCs w:val="24"/>
        </w:rPr>
        <w:t xml:space="preserve">EXCELENTÍSSIMO(A) SENHOR(A) DOUTOR(A) JUIZ(A) DE DIREITO DA ___ª VARA DE FAMÍLIA E SUCESSÕES DA COMARCA DE _____________ — ESTADO ____</w:t>
      </w:r>
    </w:p>
    <w:p>
      <w:pPr>
        <w:pBdr>
          <w:left w:val="single" w:color="F97316" w:sz="18" w:space="8"/>
        </w:pBdr>
        <w:shd w:fill="FEF3C7" w:color="auto" w:val="clear"/>
        <w:spacing w:after="200" w:before="140" w:line="320"/>
        <w:ind w:left="360" w:right="240"/>
      </w:pPr>
      <w:r>
        <w:rPr>
          <w:i/>
          <w:iCs/>
          <w:color w:val="78350F"/>
          <w:sz w:val="22"/>
          <w:szCs w:val="22"/>
        </w:rPr>
        <w:t xml:space="preserve">INSTRUÇÕES (excluir antes de protocolar): modelo de divórcio litigioso, quando não há consenso quanto ao próprio divórcio ou seus efeitos (guarda, alimentos, partilha). Adapte os capítulos conforme a controvérsia. Documentos: certidões, comprovantes de renda do(a) réu(ré) — ainda que estimativos — e prova dos bens a partilhar.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[NOME DO AUTOR], nacionalidade, profissão, portador(a) do RG nº ___ e inscrito(a) no CPF/MF sob o nº ___, residente à [ENDEREÇO COMPLETO], e-mail: ___, vem, respeitosamente, perante Vossa Excelência, por intermédio de seu(sua) advogado(a) que esta subscreve (procuração em anexo, doc. 01), propor a presente</w:t>
      </w:r>
    </w:p>
    <w:p>
      <w:pPr>
        <w:spacing w:after="240" w:before="200" w:line="320"/>
        <w:jc w:val="center"/>
      </w:pPr>
      <w:r>
        <w:rPr>
          <w:b/>
          <w:bCs/>
          <w:color w:val="0F1F3D"/>
          <w:sz w:val="26"/>
          <w:szCs w:val="26"/>
        </w:rPr>
        <w:t xml:space="preserve">AÇÃO DE DIVÓRCIO LITIGIOSO CUMULADA COM GUARDA, ALIMENTOS, REGULAMENTAÇÃO DE VISITAS E PARTILHA DE BENS, COM PEDIDO DE TUTELA DE URGÊNCIA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em face de [NOME DO RÉU], nacionalidade, profissão, portador(a) do RG nº ___ e inscrito(a) no CPF/MF sob o nº ___, residente à [ENDEREÇO], pelos fatos e fundamentos a seguir expostos.</w:t>
      </w:r>
    </w:p>
    <w:p>
      <w:pPr>
        <w:pStyle w:val="Heading2"/>
      </w:pPr>
      <w:r>
        <w:rPr>
          <w:b/>
          <w:bCs/>
          <w:color w:val="1A56DB"/>
          <w:sz w:val="26"/>
          <w:szCs w:val="26"/>
        </w:rPr>
        <w:t xml:space="preserve">I — DOS FATOS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Autor(a) e réu(ré) contraíram matrimônio em [DATA], sob o regime de [REGIME], conforme certidão de casamento em anexo (doc. ___). Da união adveio(vieram) o(s) filho(s) [NOMES e DATAS DE NASCIMENTO].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A convivência tornou-se insustentável em razão de [DESCREVER SUCINTAMENTE — sem necessidade de imputar culpa, conforme EC 66/2010], tendo as partes cessado a coabitação em [DATA], inexistindo qualquer possibilidade de reconciliação.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Não obstante as tentativas de composição amigável, restou inviável o consenso quanto a [GUARDA / ALIMENTOS / PARTILHA / USO DO IMÓVEL], razão pela qual se faz imprescindível a intervenção judicial para regular a dissolução do vínculo e seus efeitos.</w:t>
      </w:r>
    </w:p>
    <w:p>
      <w:pPr>
        <w:pStyle w:val="Heading2"/>
      </w:pPr>
      <w:r>
        <w:rPr>
          <w:b/>
          <w:bCs/>
          <w:color w:val="1A56DB"/>
          <w:sz w:val="26"/>
          <w:szCs w:val="26"/>
        </w:rPr>
        <w:t xml:space="preserve">II — DO DIREITO</w:t>
      </w:r>
    </w:p>
    <w:p>
      <w:pPr>
        <w:pStyle w:val="Heading3"/>
      </w:pPr>
      <w:r>
        <w:rPr>
          <w:b/>
          <w:bCs/>
          <w:color w:val="2C2C2A"/>
          <w:sz w:val="24"/>
          <w:szCs w:val="24"/>
        </w:rPr>
        <w:t xml:space="preserve">II.1 — Do direito potestativo ao divórcio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A Emenda Constitucional 66/2010 conferiu nova redação ao art. 226, § 6º, da CF, eliminando o requisito de prévia separação ou de prazo de separação de fato. O divórcio configura, hoje, direito potestativo do cônjuge, dispensando-se a discussão acerca de culpa ou causa, bastando a manifestação de vontade para sua decretação.</w:t>
      </w:r>
    </w:p>
    <w:p>
      <w:pPr>
        <w:pStyle w:val="Heading3"/>
      </w:pPr>
      <w:r>
        <w:rPr>
          <w:b/>
          <w:bCs/>
          <w:color w:val="2C2C2A"/>
          <w:sz w:val="24"/>
          <w:szCs w:val="24"/>
        </w:rPr>
        <w:t xml:space="preserve">II.2 — Da guarda dos filhos (princípio do melhor interesse)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A guarda compartilhada é a regra no ordenamento jurídico brasileiro, mesmo na ausência de consenso entre os pais, conforme art. 1.584, § 2º, do Código Civil, com redação dada pela Lei 13.058/2014, somente sendo afastada quando demonstrada incompatibilidade absoluta ou risco à criança.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No caso, [defender o pleito — compartilhada com residência principal com o(a) autor(a), em razão de (justificar pelo melhor interesse) / unilateral em razão de (alegar e provar)]. Requer-se a realização de estudo psicossocial pela equipe técnica do Juízo.</w:t>
      </w:r>
    </w:p>
    <w:p>
      <w:pPr>
        <w:pStyle w:val="Heading3"/>
      </w:pPr>
      <w:r>
        <w:rPr>
          <w:b/>
          <w:bCs/>
          <w:color w:val="2C2C2A"/>
          <w:sz w:val="24"/>
          <w:szCs w:val="24"/>
        </w:rPr>
        <w:t xml:space="preserve">II.3 — Dos alimentos (trinômio necessidade x possibilidade x razoabilidade)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Os alimentos devidos aos filhos regem-se pelo art. 1.694, § 1º, do CC, devendo ser fixados na proporção das necessidades do(a) alimentando(a) e dos recursos do(a) alimentante. Aplica-se, ainda, o binômio possibilidade-necessidade, temperado pela razoabilidade.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As despesas mensais com o(s) filho(s) montam aproximadamente R$ ___ (planilha em anexo, doc. ___), enquanto o(a) requerido(a) percebe rendimentos estimados em R$ ___ [indicar fonte: holerite, vínculo formal, estimativa por padrão de vida]. Postula-se a fixação dos alimentos em valor não inferior a ___% dos rendimentos líquidos do(a) alimentante.</w:t>
      </w:r>
    </w:p>
    <w:p>
      <w:pPr>
        <w:pStyle w:val="Heading3"/>
      </w:pPr>
      <w:r>
        <w:rPr>
          <w:b/>
          <w:bCs/>
          <w:color w:val="2C2C2A"/>
          <w:sz w:val="24"/>
          <w:szCs w:val="24"/>
        </w:rPr>
        <w:t xml:space="preserve">II.4 — Da partilha de bens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Aplicam-se as regras do regime de bens adotado pelo casal. Durante a constância do matrimônio, foram adquiridos os seguintes bens, sujeitos à partilha na forma da lei:</w:t>
      </w:r>
    </w:p>
    <w:p>
      <w:pPr>
        <w:pStyle w:val="ListParagraph"/>
        <w:numPr>
          <w:ilvl w:val="0"/>
          <w:numId w:val="2"/>
        </w:numPr>
        <w:spacing w:after="80" w:line="320"/>
        <w:jc w:val="both"/>
      </w:pPr>
      <w:r>
        <w:rPr>
          <w:color w:val="2C2C2A"/>
          <w:sz w:val="22"/>
          <w:szCs w:val="22"/>
        </w:rPr>
        <w:t xml:space="preserve">[BEM 1: descrição, valor estimado, forma proposta de partilha];</w:t>
      </w:r>
    </w:p>
    <w:p>
      <w:pPr>
        <w:pStyle w:val="ListParagraph"/>
        <w:numPr>
          <w:ilvl w:val="0"/>
          <w:numId w:val="2"/>
        </w:numPr>
        <w:spacing w:after="80" w:line="320"/>
        <w:jc w:val="both"/>
      </w:pPr>
      <w:r>
        <w:rPr>
          <w:color w:val="2C2C2A"/>
          <w:sz w:val="22"/>
          <w:szCs w:val="22"/>
        </w:rPr>
        <w:t xml:space="preserve">[BEM 2: ...]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Eventuais dívidas comuns são as seguintes: [LISTAR], devendo ser repartidas na proporção legal.</w:t>
      </w:r>
    </w:p>
    <w:p>
      <w:pPr>
        <w:pStyle w:val="Heading3"/>
      </w:pPr>
      <w:r>
        <w:rPr>
          <w:b/>
          <w:bCs/>
          <w:color w:val="2C2C2A"/>
          <w:sz w:val="24"/>
          <w:szCs w:val="24"/>
        </w:rPr>
        <w:t xml:space="preserve">II.5 — Do uso do imóvel comum e dos alimentos compensatórios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Até a partilha definitiva, requer-se autorização para que o(a) autor(a) e o(s) filho(s) permaneçam no imóvel comum sito à [ENDEREÇO], em razão do princípio da proteção integral à criança e do dever de assegurar moradia digna. [Caso aplicável] Postula-se, ainda, a fixação de alimentos compensatórios, nos termos da jurisprudência do STJ, para reequilibrar a posição econômica do(a) ex-cônjuge.</w:t>
      </w:r>
    </w:p>
    <w:p>
      <w:pPr>
        <w:pStyle w:val="Heading2"/>
      </w:pPr>
      <w:r>
        <w:rPr>
          <w:b/>
          <w:bCs/>
          <w:color w:val="1A56DB"/>
          <w:sz w:val="26"/>
          <w:szCs w:val="26"/>
        </w:rPr>
        <w:t xml:space="preserve">III — DA TUTELA DE URGÊNCIA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Estão presentes os requisitos do art. 300 do CPC. Requer-se, em sede liminar:</w:t>
      </w:r>
    </w:p>
    <w:p>
      <w:pPr>
        <w:pStyle w:val="ListParagraph"/>
        <w:numPr>
          <w:ilvl w:val="0"/>
          <w:numId w:val="3"/>
        </w:numPr>
        <w:spacing w:after="140" w:line="340"/>
        <w:jc w:val="both"/>
      </w:pPr>
      <w:r>
        <w:rPr>
          <w:color w:val="2C2C2A"/>
          <w:sz w:val="24"/>
          <w:szCs w:val="24"/>
        </w:rPr>
        <w:t xml:space="preserve">a fixação de alimentos provisórios em favor do(s) filho(s) [NOMES] no patamar de R$ ___ (ou ___% dos rendimentos líquidos do(a) alimentante), com vencimento mensal até o dia ___, mediante depósito em conta a ser indicada (Lei 5.478/68, art. 4º);</w:t>
      </w:r>
    </w:p>
    <w:p>
      <w:pPr>
        <w:pStyle w:val="ListParagraph"/>
        <w:numPr>
          <w:ilvl w:val="0"/>
          <w:numId w:val="3"/>
        </w:numPr>
        <w:spacing w:after="140" w:line="340"/>
        <w:jc w:val="both"/>
      </w:pPr>
      <w:r>
        <w:rPr>
          <w:color w:val="2C2C2A"/>
          <w:sz w:val="24"/>
          <w:szCs w:val="24"/>
        </w:rPr>
        <w:t xml:space="preserve">a definição liminar da guarda provisória em favor de [GENITOR(A)], com regulamentação provisória do regime de convivência ao genitor não-residente nos seguintes termos: [especificar finais de semana alternados, etc.];</w:t>
      </w:r>
    </w:p>
    <w:p>
      <w:pPr>
        <w:pStyle w:val="ListParagraph"/>
        <w:numPr>
          <w:ilvl w:val="0"/>
          <w:numId w:val="3"/>
        </w:numPr>
        <w:spacing w:after="140" w:line="340"/>
        <w:jc w:val="both"/>
      </w:pPr>
      <w:r>
        <w:rPr>
          <w:color w:val="2C2C2A"/>
          <w:sz w:val="24"/>
          <w:szCs w:val="24"/>
        </w:rPr>
        <w:t xml:space="preserve">a concessão de autorização ao(à) autor(a) e ao(s) filho(s) para permanência no imóvel comum sito à [ENDEREÇO], com vedação de turbação ou alienação do bem;</w:t>
      </w:r>
    </w:p>
    <w:p>
      <w:pPr>
        <w:pStyle w:val="ListParagraph"/>
        <w:numPr>
          <w:ilvl w:val="0"/>
          <w:numId w:val="3"/>
        </w:numPr>
        <w:spacing w:after="140" w:line="340"/>
        <w:jc w:val="both"/>
      </w:pPr>
      <w:r>
        <w:rPr>
          <w:color w:val="2C2C2A"/>
          <w:sz w:val="24"/>
          <w:szCs w:val="24"/>
        </w:rPr>
        <w:t xml:space="preserve">[se aplicável] a determinação para que o(a) réu(ré) se abstenha de praticar atos de violência psicológica, perseguição ou ameaça, sob pena das medidas previstas na Lei 11.340/2006.</w:t>
      </w:r>
    </w:p>
    <w:p>
      <w:pPr>
        <w:pStyle w:val="Heading2"/>
      </w:pPr>
      <w:r>
        <w:rPr>
          <w:b/>
          <w:bCs/>
          <w:color w:val="1A56DB"/>
          <w:sz w:val="26"/>
          <w:szCs w:val="26"/>
        </w:rPr>
        <w:t xml:space="preserve">IV — DOS PEDIDOS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Ante o exposto, requer-se a Vossa Excelência:</w:t>
      </w:r>
    </w:p>
    <w:p>
      <w:pPr>
        <w:pStyle w:val="ListParagraph"/>
        <w:numPr>
          <w:ilvl w:val="0"/>
          <w:numId w:val="3"/>
        </w:numPr>
        <w:spacing w:after="140" w:line="340"/>
        <w:jc w:val="both"/>
      </w:pPr>
      <w:r>
        <w:rPr>
          <w:color w:val="2C2C2A"/>
          <w:sz w:val="24"/>
          <w:szCs w:val="24"/>
        </w:rPr>
        <w:t xml:space="preserve">a concessão das tutelas de urgência postuladas, em caráter liminar;</w:t>
      </w:r>
    </w:p>
    <w:p>
      <w:pPr>
        <w:pStyle w:val="ListParagraph"/>
        <w:numPr>
          <w:ilvl w:val="0"/>
          <w:numId w:val="3"/>
        </w:numPr>
        <w:spacing w:after="140" w:line="340"/>
        <w:jc w:val="both"/>
      </w:pPr>
      <w:r>
        <w:rPr>
          <w:color w:val="2C2C2A"/>
          <w:sz w:val="24"/>
          <w:szCs w:val="24"/>
        </w:rPr>
        <w:t xml:space="preserve">a citação do(a) réu(ré) para, querendo, apresentar resposta no prazo legal, sob pena de revelia, com designação prévia de audiência de conciliação e mediação (art. 334 do CPC);</w:t>
      </w:r>
    </w:p>
    <w:p>
      <w:pPr>
        <w:pStyle w:val="ListParagraph"/>
        <w:numPr>
          <w:ilvl w:val="0"/>
          <w:numId w:val="3"/>
        </w:numPr>
        <w:spacing w:after="140" w:line="340"/>
        <w:jc w:val="both"/>
      </w:pPr>
      <w:r>
        <w:rPr>
          <w:color w:val="2C2C2A"/>
          <w:sz w:val="24"/>
          <w:szCs w:val="24"/>
        </w:rPr>
        <w:t xml:space="preserve">a intervenção do Ministério Público, ante a existência de interesse de menor(es)/incapaz(es), nos termos do art. 178, II, do CPC;</w:t>
      </w:r>
    </w:p>
    <w:p>
      <w:pPr>
        <w:pStyle w:val="ListParagraph"/>
        <w:numPr>
          <w:ilvl w:val="0"/>
          <w:numId w:val="3"/>
        </w:numPr>
        <w:spacing w:after="140" w:line="340"/>
        <w:jc w:val="both"/>
      </w:pPr>
      <w:r>
        <w:rPr>
          <w:color w:val="2C2C2A"/>
          <w:sz w:val="24"/>
          <w:szCs w:val="24"/>
        </w:rPr>
        <w:t xml:space="preserve">a realização de estudo psicossocial pela equipe técnica do Juízo, visando subsidiar a decisão acerca da guarda e do regime de convivência;</w:t>
      </w:r>
    </w:p>
    <w:p>
      <w:pPr>
        <w:pStyle w:val="ListParagraph"/>
        <w:numPr>
          <w:ilvl w:val="0"/>
          <w:numId w:val="3"/>
        </w:numPr>
        <w:spacing w:after="140" w:line="340"/>
        <w:jc w:val="both"/>
      </w:pPr>
      <w:r>
        <w:rPr>
          <w:color w:val="2C2C2A"/>
          <w:sz w:val="24"/>
          <w:szCs w:val="24"/>
        </w:rPr>
        <w:t xml:space="preserve">a procedência integral da demanda para: (i) decretar o divórcio, com a dissolução do vínculo conjugal e [retomada do nome de solteira / manutenção do nome de casado(a)]; (ii) fixar a guarda do(s) filho(s) na modalidade [compartilhada/unilateral], com residência principal no domicílio de [GENITOR(A)]; (iii) regulamentar o regime de convivência conforme item correlato; (iv) condenar o(a) réu(ré) ao pagamento de alimentos definitivos no patamar de ___% de seus rendimentos líquidos, ou em valor não inferior a R$ ___; (v) determinar a partilha dos bens descritos na inicial, conforme o regime do casamento; (vi) confirmar as tutelas de urgência concedidas;</w:t>
      </w:r>
    </w:p>
    <w:p>
      <w:pPr>
        <w:pStyle w:val="ListParagraph"/>
        <w:numPr>
          <w:ilvl w:val="0"/>
          <w:numId w:val="3"/>
        </w:numPr>
        <w:spacing w:after="140" w:line="340"/>
        <w:jc w:val="both"/>
      </w:pPr>
      <w:r>
        <w:rPr>
          <w:color w:val="2C2C2A"/>
          <w:sz w:val="24"/>
          <w:szCs w:val="24"/>
        </w:rPr>
        <w:t xml:space="preserve">a condenação do(a) réu(ré) ao pagamento das custas processuais e dos honorários advocatícios sucumbenciais, na forma do art. 85, § 2º, do CPC;</w:t>
      </w:r>
    </w:p>
    <w:p>
      <w:pPr>
        <w:pStyle w:val="ListParagraph"/>
        <w:numPr>
          <w:ilvl w:val="0"/>
          <w:numId w:val="3"/>
        </w:numPr>
        <w:spacing w:after="140" w:line="340"/>
        <w:jc w:val="both"/>
      </w:pPr>
      <w:r>
        <w:rPr>
          <w:color w:val="2C2C2A"/>
          <w:sz w:val="24"/>
          <w:szCs w:val="24"/>
        </w:rPr>
        <w:t xml:space="preserve">a produção de todas as provas em direito admitidas, com destaque para o estudo psicossocial, oitiva das partes e de testemunhas, e juntada de documentos complementares;</w:t>
      </w:r>
    </w:p>
    <w:p>
      <w:pPr>
        <w:pStyle w:val="ListParagraph"/>
        <w:numPr>
          <w:ilvl w:val="0"/>
          <w:numId w:val="3"/>
        </w:numPr>
        <w:spacing w:after="140" w:line="340"/>
        <w:jc w:val="both"/>
      </w:pPr>
      <w:r>
        <w:rPr>
          <w:color w:val="2C2C2A"/>
          <w:sz w:val="24"/>
          <w:szCs w:val="24"/>
        </w:rPr>
        <w:t xml:space="preserve">o benefício da gratuidade da justiça, [se cabível].</w:t>
      </w:r>
    </w:p>
    <w:p>
      <w:pPr>
        <w:pStyle w:val="Heading2"/>
      </w:pPr>
      <w:r>
        <w:rPr>
          <w:b/>
          <w:bCs/>
          <w:color w:val="1A56DB"/>
          <w:sz w:val="26"/>
          <w:szCs w:val="26"/>
        </w:rPr>
        <w:t xml:space="preserve">V — DO VALOR DA CAUSA</w:t>
      </w:r>
    </w:p>
    <w:p>
      <w:pPr>
        <w:spacing w:after="140" w:line="360"/>
        <w:ind w:firstLine="720"/>
        <w:jc w:val="both"/>
      </w:pPr>
      <w:r>
        <w:rPr>
          <w:color w:val="2C2C2A"/>
          <w:sz w:val="24"/>
          <w:szCs w:val="24"/>
        </w:rPr>
        <w:t xml:space="preserve">Dá-se à causa o valor de R$ ___ (___), correspondente à soma das prestações alimentícias anuais e do valor estimado dos bens a partilhar, nos termos do art. 292, III e VII, do CPC.</w:t>
      </w:r>
    </w:p>
    <w:p>
      <w:r>
        <w:t xml:space="preserve"/>
      </w:r>
    </w:p>
    <w:p>
      <w:pPr>
        <w:spacing w:after="120" w:line="320"/>
        <w:jc w:val="center"/>
      </w:pPr>
      <w:r>
        <w:rPr>
          <w:color w:val="2C2C2A"/>
          <w:sz w:val="24"/>
          <w:szCs w:val="24"/>
        </w:rPr>
        <w:t xml:space="preserve">Termos em que,</w:t>
      </w:r>
    </w:p>
    <w:p>
      <w:pPr>
        <w:spacing w:after="120" w:line="320"/>
        <w:jc w:val="center"/>
      </w:pPr>
      <w:r>
        <w:rPr>
          <w:color w:val="2C2C2A"/>
          <w:sz w:val="24"/>
          <w:szCs w:val="24"/>
        </w:rPr>
        <w:t xml:space="preserve">Pede deferimento.</w:t>
      </w:r>
    </w:p>
    <w:p>
      <w:r>
        <w:t xml:space="preserve"/>
      </w:r>
    </w:p>
    <w:p>
      <w:pPr>
        <w:spacing w:after="120" w:line="320"/>
        <w:jc w:val="center"/>
      </w:pPr>
      <w:r>
        <w:rPr>
          <w:color w:val="2C2C2A"/>
          <w:sz w:val="24"/>
          <w:szCs w:val="24"/>
        </w:rPr>
        <w:t xml:space="preserve">[CIDADE], [DIA] de [MÊS] de [ANO].</w:t>
      </w:r>
    </w:p>
    <w:p>
      <w:r>
        <w:t xml:space="preserve"/>
      </w:r>
    </w:p>
    <w:p>
      <w:r>
        <w:t xml:space="preserve"/>
      </w:r>
    </w:p>
    <w:p>
      <w:pPr>
        <w:spacing w:after="120" w:line="320"/>
        <w:jc w:val="center"/>
      </w:pPr>
      <w:r>
        <w:rPr>
          <w:color w:val="2C2C2A"/>
          <w:sz w:val="24"/>
          <w:szCs w:val="24"/>
        </w:rPr>
        <w:t xml:space="preserve">______________________________________</w:t>
      </w:r>
    </w:p>
    <w:p>
      <w:pPr>
        <w:spacing w:after="120" w:line="320"/>
        <w:jc w:val="center"/>
      </w:pPr>
      <w:r>
        <w:rPr>
          <w:b/>
          <w:bCs/>
          <w:color w:val="2C2C2A"/>
          <w:sz w:val="24"/>
          <w:szCs w:val="24"/>
        </w:rPr>
        <w:t xml:space="preserve">[NOME DO(A) ADVOGADO(A)]</w:t>
      </w:r>
    </w:p>
    <w:p>
      <w:pPr>
        <w:spacing w:after="120" w:line="320"/>
        <w:jc w:val="center"/>
      </w:pPr>
      <w:r>
        <w:rPr>
          <w:color w:val="2C2C2A"/>
          <w:sz w:val="24"/>
          <w:szCs w:val="24"/>
        </w:rPr>
        <w:t xml:space="preserve">OAB/__ nº ___</w:t>
      </w:r>
    </w:p>
    <w:sectPr>
      <w:headerReference w:type="default" r:id="rId7"/>
      <w:footerReference w:type="default" r:id="rId8"/>
      <w:pgSz w:w="11906" w:h="16838" w:orient="portrait"/>
      <w:pgMar w:top="1800" w:right="1440" w:bottom="1440" w:left="1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1D5DB" w:sz="4" w:space="4"/>
      </w:pBdr>
      <w:spacing w:before="8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Modelo gratuito disponibilizado por </w:t>
    </w:r>
    <w:r>
      <w:rPr>
        <w:rFonts w:ascii="Arial" w:cs="Arial" w:eastAsia="Arial" w:hAnsi="Arial"/>
        <w:b/>
        <w:bCs/>
        <w:color w:val="1A56DB"/>
        <w:sz w:val="16"/>
        <w:szCs w:val="16"/>
      </w:rPr>
      <w:t xml:space="preserve">Jusatuando.com.br</w:t>
    </w:r>
    <w:r>
      <w:rPr>
        <w:rFonts w:ascii="Arial" w:cs="Arial" w:eastAsia="Arial" w:hAnsi="Arial"/>
        <w:color w:val="6B7280"/>
        <w:sz w:val="16"/>
        <w:szCs w:val="16"/>
      </w:rPr>
      <w:t xml:space="preserve"> — adapte ao caso concreto.  |  Página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B7280"/>
        <w:sz w:val="16"/>
        <w:szCs w:val="16"/>
      </w:rPr>
      <w:t xml:space="preserve"> de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6A34A" w:sz="8" w:space="6"/>
      </w:pBdr>
      <w:spacing w:after="80"/>
      <w:jc w:val="left"/>
    </w:pPr>
    <w:r>
      <w:drawing>
        <wp:inline distT="0" distB="0" distL="0" distR="0">
          <wp:extent cx="1714500" cy="428625"/>
          <wp:effectExtent t="0" r="0" b="0" l="0"/>
          <wp:docPr id="1" name="logo_jusatuando" descr="Logo Jusatuando — Direito para Todos" title="Jusatuan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428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lowerLetter"/>
      <w:lvlText w:val="%1)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360"/>
      <w:jc w:val="center"/>
      <w:outlineLvl w:val="0"/>
    </w:pPr>
    <w:rPr>
      <w:rFonts w:ascii="Times New Roman" w:cs="Times New Roman" w:eastAsia="Times New Roman" w:hAnsi="Times New Roman"/>
      <w:b/>
      <w:bCs/>
      <w:color w:val="0F1F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40" w:before="280"/>
      <w:outlineLvl w:val="1"/>
    </w:pPr>
    <w:rPr>
      <w:rFonts w:ascii="Times New Roman" w:cs="Times New Roman" w:eastAsia="Times New Roman" w:hAnsi="Times New Roman"/>
      <w:b/>
      <w:bCs/>
      <w:color w:val="1A56DB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100" w:before="180"/>
      <w:outlineLvl w:val="2"/>
    </w:pPr>
    <w:rPr>
      <w:rFonts w:ascii="Times New Roman" w:cs="Times New Roman" w:eastAsia="Times New Roman" w:hAnsi="Times New Roman"/>
      <w:b/>
      <w:bCs/>
      <w:color w:val="2C2C2A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734bcf8e226d35a47f1760d6da0202757c577c1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Petição Inicial — Jusatuando</dc:title>
  <dc:creator>Jusatuando — Direito para Todos</dc:creator>
  <dc:description>Modelo gratuito disponibilizado por jusatuando.com.br</dc:description>
  <cp:lastModifiedBy>Un-named</cp:lastModifiedBy>
  <cp:revision>1</cp:revision>
  <dcterms:created xsi:type="dcterms:W3CDTF">2026-05-17T00:34:59.395Z</dcterms:created>
  <dcterms:modified xsi:type="dcterms:W3CDTF">2026-05-17T00:34:59.395Z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